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2382" w:rsidRPr="008D077F" w:rsidRDefault="00AB2CA1" w:rsidP="008D077F">
      <w:pPr>
        <w:spacing w:after="0" w:line="480" w:lineRule="auto"/>
        <w:rPr>
          <w:rFonts w:ascii="Times New Roman" w:hAnsi="Times New Roman" w:cs="Times New Roman"/>
          <w:sz w:val="24"/>
          <w:szCs w:val="24"/>
        </w:rPr>
      </w:pPr>
      <w:r w:rsidRPr="008D077F">
        <w:rPr>
          <w:rFonts w:ascii="Times New Roman" w:hAnsi="Times New Roman" w:cs="Times New Roman"/>
          <w:sz w:val="24"/>
          <w:szCs w:val="24"/>
        </w:rPr>
        <w:tab/>
      </w:r>
    </w:p>
    <w:p w:rsidR="002776F1" w:rsidRPr="008D077F" w:rsidRDefault="00D44D33" w:rsidP="008D077F">
      <w:pPr>
        <w:spacing w:after="0" w:line="480" w:lineRule="auto"/>
        <w:rPr>
          <w:rFonts w:ascii="Times New Roman" w:hAnsi="Times New Roman" w:cs="Times New Roman"/>
          <w:sz w:val="24"/>
          <w:szCs w:val="24"/>
        </w:rPr>
      </w:pPr>
    </w:p>
    <w:p w:rsidR="002776F1" w:rsidRPr="008D077F" w:rsidRDefault="00D44D33" w:rsidP="008D077F">
      <w:pPr>
        <w:spacing w:after="0" w:line="480" w:lineRule="auto"/>
        <w:rPr>
          <w:rFonts w:ascii="Times New Roman" w:hAnsi="Times New Roman" w:cs="Times New Roman"/>
          <w:sz w:val="24"/>
          <w:szCs w:val="24"/>
        </w:rPr>
      </w:pPr>
    </w:p>
    <w:p w:rsidR="002776F1" w:rsidRPr="008D077F" w:rsidRDefault="00D44D33" w:rsidP="008D077F">
      <w:pPr>
        <w:spacing w:after="0" w:line="480" w:lineRule="auto"/>
        <w:rPr>
          <w:rFonts w:ascii="Times New Roman" w:hAnsi="Times New Roman" w:cs="Times New Roman"/>
          <w:sz w:val="24"/>
          <w:szCs w:val="24"/>
        </w:rPr>
      </w:pPr>
    </w:p>
    <w:p w:rsidR="002776F1" w:rsidRPr="008D077F" w:rsidRDefault="00D44D33" w:rsidP="008D077F">
      <w:pPr>
        <w:spacing w:after="0" w:line="480" w:lineRule="auto"/>
        <w:rPr>
          <w:rFonts w:ascii="Times New Roman" w:hAnsi="Times New Roman" w:cs="Times New Roman"/>
          <w:sz w:val="24"/>
          <w:szCs w:val="24"/>
        </w:rPr>
      </w:pPr>
    </w:p>
    <w:p w:rsidR="002776F1" w:rsidRPr="008D077F" w:rsidRDefault="00D44D33" w:rsidP="008D077F">
      <w:pPr>
        <w:spacing w:after="0" w:line="480" w:lineRule="auto"/>
        <w:rPr>
          <w:rFonts w:ascii="Times New Roman" w:hAnsi="Times New Roman" w:cs="Times New Roman"/>
          <w:sz w:val="24"/>
          <w:szCs w:val="24"/>
        </w:rPr>
      </w:pPr>
    </w:p>
    <w:p w:rsidR="002776F1" w:rsidRPr="008D077F" w:rsidRDefault="00D44D33" w:rsidP="008D077F">
      <w:pPr>
        <w:spacing w:after="0" w:line="480" w:lineRule="auto"/>
        <w:rPr>
          <w:rFonts w:ascii="Times New Roman" w:hAnsi="Times New Roman" w:cs="Times New Roman"/>
          <w:sz w:val="24"/>
          <w:szCs w:val="24"/>
        </w:rPr>
      </w:pPr>
    </w:p>
    <w:p w:rsidR="002776F1" w:rsidRDefault="00AB2CA1" w:rsidP="008D077F">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Reforms in Healthcare</w:t>
      </w:r>
    </w:p>
    <w:p w:rsidR="00445BA2" w:rsidRPr="008D077F" w:rsidRDefault="00280681" w:rsidP="008D077F">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Name </w:t>
      </w:r>
    </w:p>
    <w:p w:rsidR="00445BA2" w:rsidRPr="008D077F" w:rsidRDefault="00280681" w:rsidP="008D077F">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Institution</w:t>
      </w:r>
    </w:p>
    <w:p w:rsidR="00BC508B" w:rsidRDefault="00280681" w:rsidP="008D077F">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Date</w:t>
      </w:r>
    </w:p>
    <w:p w:rsidR="001F2A0F" w:rsidRPr="008D077F" w:rsidRDefault="001F2A0F" w:rsidP="008D077F">
      <w:pPr>
        <w:spacing w:after="0" w:line="480" w:lineRule="auto"/>
        <w:jc w:val="center"/>
        <w:rPr>
          <w:rFonts w:ascii="Times New Roman" w:hAnsi="Times New Roman" w:cs="Times New Roman"/>
          <w:color w:val="222222"/>
          <w:sz w:val="24"/>
          <w:szCs w:val="24"/>
          <w:shd w:val="clear" w:color="auto" w:fill="FFFFFF"/>
        </w:rPr>
      </w:pPr>
    </w:p>
    <w:p w:rsidR="00CB5077" w:rsidRPr="008D077F" w:rsidRDefault="00D44D33" w:rsidP="008D077F">
      <w:pPr>
        <w:spacing w:after="0" w:line="480" w:lineRule="auto"/>
        <w:jc w:val="center"/>
        <w:rPr>
          <w:rFonts w:ascii="Times New Roman" w:hAnsi="Times New Roman" w:cs="Times New Roman"/>
          <w:color w:val="222222"/>
          <w:sz w:val="24"/>
          <w:szCs w:val="24"/>
          <w:shd w:val="clear" w:color="auto" w:fill="FFFFFF"/>
        </w:rPr>
      </w:pPr>
    </w:p>
    <w:p w:rsidR="00CB5077" w:rsidRPr="008D077F" w:rsidRDefault="00D44D33" w:rsidP="008D077F">
      <w:pPr>
        <w:spacing w:after="0" w:line="480" w:lineRule="auto"/>
        <w:jc w:val="center"/>
        <w:rPr>
          <w:rFonts w:ascii="Times New Roman" w:hAnsi="Times New Roman" w:cs="Times New Roman"/>
          <w:color w:val="222222"/>
          <w:sz w:val="24"/>
          <w:szCs w:val="24"/>
          <w:shd w:val="clear" w:color="auto" w:fill="FFFFFF"/>
        </w:rPr>
      </w:pPr>
    </w:p>
    <w:p w:rsidR="00CB5077" w:rsidRPr="008D077F" w:rsidRDefault="00D44D33" w:rsidP="008D077F">
      <w:pPr>
        <w:spacing w:after="0" w:line="480" w:lineRule="auto"/>
        <w:jc w:val="center"/>
        <w:rPr>
          <w:rFonts w:ascii="Times New Roman" w:hAnsi="Times New Roman" w:cs="Times New Roman"/>
          <w:color w:val="222222"/>
          <w:sz w:val="24"/>
          <w:szCs w:val="24"/>
          <w:shd w:val="clear" w:color="auto" w:fill="FFFFFF"/>
        </w:rPr>
      </w:pPr>
    </w:p>
    <w:p w:rsidR="00CB5077" w:rsidRPr="008D077F" w:rsidRDefault="00D44D33" w:rsidP="008D077F">
      <w:pPr>
        <w:spacing w:after="0" w:line="480" w:lineRule="auto"/>
        <w:jc w:val="center"/>
        <w:rPr>
          <w:rFonts w:ascii="Times New Roman" w:hAnsi="Times New Roman" w:cs="Times New Roman"/>
          <w:color w:val="222222"/>
          <w:sz w:val="24"/>
          <w:szCs w:val="24"/>
          <w:shd w:val="clear" w:color="auto" w:fill="FFFFFF"/>
        </w:rPr>
      </w:pPr>
    </w:p>
    <w:p w:rsidR="00CB5077" w:rsidRPr="008D077F" w:rsidRDefault="00D44D33" w:rsidP="008D077F">
      <w:pPr>
        <w:spacing w:after="0" w:line="480" w:lineRule="auto"/>
        <w:jc w:val="center"/>
        <w:rPr>
          <w:rFonts w:ascii="Times New Roman" w:hAnsi="Times New Roman" w:cs="Times New Roman"/>
          <w:color w:val="222222"/>
          <w:sz w:val="24"/>
          <w:szCs w:val="24"/>
          <w:shd w:val="clear" w:color="auto" w:fill="FFFFFF"/>
        </w:rPr>
      </w:pPr>
    </w:p>
    <w:p w:rsidR="00336361" w:rsidRPr="008D077F" w:rsidRDefault="00AB2CA1" w:rsidP="008D077F">
      <w:pPr>
        <w:spacing w:after="0" w:line="480" w:lineRule="auto"/>
        <w:rPr>
          <w:rFonts w:ascii="Times New Roman" w:hAnsi="Times New Roman" w:cs="Times New Roman"/>
          <w:color w:val="222222"/>
          <w:sz w:val="24"/>
          <w:szCs w:val="24"/>
          <w:shd w:val="clear" w:color="auto" w:fill="FFFFFF"/>
        </w:rPr>
      </w:pPr>
      <w:r w:rsidRPr="008D077F">
        <w:rPr>
          <w:rFonts w:ascii="Times New Roman" w:hAnsi="Times New Roman" w:cs="Times New Roman"/>
          <w:color w:val="222222"/>
          <w:sz w:val="24"/>
          <w:szCs w:val="24"/>
          <w:shd w:val="clear" w:color="auto" w:fill="FFFFFF"/>
        </w:rPr>
        <w:br w:type="page"/>
      </w:r>
    </w:p>
    <w:p w:rsidR="00EB1AE6" w:rsidRPr="001F2A0F" w:rsidRDefault="00280681" w:rsidP="008D077F">
      <w:pPr>
        <w:spacing w:after="0" w:line="480" w:lineRule="auto"/>
        <w:jc w:val="center"/>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lastRenderedPageBreak/>
        <w:t>Healthcare Reforms</w:t>
      </w:r>
    </w:p>
    <w:p w:rsidR="008D077F" w:rsidRPr="007F5C64" w:rsidRDefault="001E61F5" w:rsidP="008D077F">
      <w:pPr>
        <w:spacing w:after="0" w:line="480" w:lineRule="auto"/>
        <w:jc w:val="center"/>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t>Introduction</w:t>
      </w:r>
    </w:p>
    <w:p w:rsidR="00CA6B43" w:rsidRDefault="00280681" w:rsidP="007F5C64">
      <w:pPr>
        <w:pStyle w:val="NormalWeb"/>
        <w:shd w:val="clear" w:color="auto" w:fill="FFFFFF"/>
        <w:spacing w:after="0" w:line="480" w:lineRule="auto"/>
        <w:ind w:firstLine="720"/>
        <w:rPr>
          <w:color w:val="333333"/>
        </w:rPr>
      </w:pPr>
      <w:r>
        <w:rPr>
          <w:color w:val="333333"/>
        </w:rPr>
        <w:t>Healthcare reforms come along with specific performance benchmarks that may result from the implementation of laws at all ranks of the government. These laws and policies are set to regulate the standards of performance, which is a measure of how well management teams coordinate the decisions affecting patient outcomes</w:t>
      </w:r>
      <w:r w:rsidR="008D402C">
        <w:rPr>
          <w:color w:val="333333"/>
        </w:rPr>
        <w:t xml:space="preserve"> (Lamont, Stewart, &amp; Chiarella, </w:t>
      </w:r>
      <w:r w:rsidR="008D402C" w:rsidRPr="008D402C">
        <w:rPr>
          <w:color w:val="333333"/>
        </w:rPr>
        <w:t>2017)</w:t>
      </w:r>
      <w:r>
        <w:rPr>
          <w:color w:val="333333"/>
        </w:rPr>
        <w:t>.  The laws are enacted and controlled by all arms of governance, spanning from the local to the state, and then to the federal. In the course of management of operations in healthcare organizations, management teams must be well versed with the benchmarks depicting the metrics on performance as well as compliance with set rules and regulations. An analysis of th</w:t>
      </w:r>
      <w:r w:rsidR="00CB1536">
        <w:rPr>
          <w:color w:val="333333"/>
        </w:rPr>
        <w:t>e America’s United</w:t>
      </w:r>
      <w:r>
        <w:rPr>
          <w:color w:val="333333"/>
        </w:rPr>
        <w:t>Health Group shows that there are areas where the organization is working towards meeting the compliance requirements with the set benchmarks, while there are also areas of improvement</w:t>
      </w:r>
      <w:r w:rsidR="000D5CBB">
        <w:rPr>
          <w:color w:val="333333"/>
        </w:rPr>
        <w:t xml:space="preserve"> (Obama, </w:t>
      </w:r>
      <w:r w:rsidR="000D5CBB" w:rsidRPr="000D5CBB">
        <w:rPr>
          <w:color w:val="333333"/>
        </w:rPr>
        <w:t>2016)</w:t>
      </w:r>
      <w:r>
        <w:rPr>
          <w:color w:val="333333"/>
        </w:rPr>
        <w:t>. This paper will review the performance dashboard for the</w:t>
      </w:r>
      <w:r w:rsidR="00CB1536">
        <w:rPr>
          <w:color w:val="333333"/>
        </w:rPr>
        <w:t xml:space="preserve"> United</w:t>
      </w:r>
      <w:r>
        <w:rPr>
          <w:color w:val="333333"/>
        </w:rPr>
        <w:t>Health Group</w:t>
      </w:r>
      <w:r w:rsidR="00CB1536">
        <w:rPr>
          <w:color w:val="333333"/>
        </w:rPr>
        <w:t xml:space="preserve"> and the vital legislations specific to the performance metrics within the healthcare organization. </w:t>
      </w:r>
    </w:p>
    <w:p w:rsidR="00C225A2" w:rsidRPr="00A650CF" w:rsidRDefault="00CB1536" w:rsidP="00A650CF">
      <w:pPr>
        <w:pStyle w:val="NormalWeb"/>
        <w:shd w:val="clear" w:color="auto" w:fill="FFFFFF"/>
        <w:spacing w:after="0" w:line="480" w:lineRule="auto"/>
        <w:jc w:val="center"/>
        <w:rPr>
          <w:b/>
          <w:color w:val="333333"/>
        </w:rPr>
      </w:pPr>
      <w:r>
        <w:rPr>
          <w:b/>
          <w:color w:val="333333"/>
        </w:rPr>
        <w:t>How policies, laws and regulations affect the UnitedHealth Group</w:t>
      </w:r>
    </w:p>
    <w:p w:rsidR="00C225A2" w:rsidRDefault="00F941FE" w:rsidP="00A650CF">
      <w:pPr>
        <w:pStyle w:val="NormalWeb"/>
        <w:shd w:val="clear" w:color="auto" w:fill="FFFFFF"/>
        <w:spacing w:after="0" w:line="480" w:lineRule="auto"/>
        <w:ind w:firstLine="720"/>
        <w:rPr>
          <w:color w:val="333333"/>
        </w:rPr>
      </w:pPr>
      <w:r>
        <w:rPr>
          <w:color w:val="333333"/>
        </w:rPr>
        <w:t>Like many other healthcare organizations, the UnitedHealth Group works under the constraints of federal regulations. The best example is how the management is regulated in responding to the problems involving insurance coverage and reimbursements for the practitioners and the patients. The healthcare organization is also required to respond to the key deficit-reduction proposals that work in relation to the public health programs</w:t>
      </w:r>
      <w:r w:rsidR="008D402C">
        <w:rPr>
          <w:color w:val="333333"/>
        </w:rPr>
        <w:t xml:space="preserve"> </w:t>
      </w:r>
      <w:r w:rsidR="008D402C" w:rsidRPr="008D402C">
        <w:rPr>
          <w:color w:val="333333"/>
        </w:rPr>
        <w:t>(Lamont, Stewart, &amp; Chiarella, 2017)</w:t>
      </w:r>
      <w:r>
        <w:rPr>
          <w:color w:val="333333"/>
        </w:rPr>
        <w:t xml:space="preserve">. In this case, both the local, federal and state governments act as oversights in the course of implementation of these policies as they are they are constitutionally mandated to </w:t>
      </w:r>
      <w:r>
        <w:rPr>
          <w:color w:val="333333"/>
        </w:rPr>
        <w:lastRenderedPageBreak/>
        <w:t xml:space="preserve">protect the health of the public. The government agencies are also responsible for the development of pilot payment programs through bundling the payments for catering for the services of patients from the third admission to one month after discharge from the healthcare facilities. The management within the organization </w:t>
      </w:r>
      <w:r w:rsidR="009D4B50">
        <w:rPr>
          <w:color w:val="333333"/>
        </w:rPr>
        <w:t>is</w:t>
      </w:r>
      <w:r>
        <w:rPr>
          <w:color w:val="333333"/>
        </w:rPr>
        <w:t xml:space="preserve"> thus mandated to ensure that the bundling procedure is carried out according to the law, while the system of spending is meant to improve the patient outcomes. </w:t>
      </w:r>
    </w:p>
    <w:p w:rsidR="00B34D15" w:rsidRDefault="00AB2CA1" w:rsidP="00445BA2">
      <w:pPr>
        <w:pStyle w:val="NormalWeb"/>
        <w:shd w:val="clear" w:color="auto" w:fill="FFFFFF"/>
        <w:spacing w:after="0" w:line="480" w:lineRule="auto"/>
        <w:rPr>
          <w:color w:val="333333"/>
        </w:rPr>
      </w:pPr>
      <w:r>
        <w:rPr>
          <w:color w:val="333333"/>
        </w:rPr>
        <w:t xml:space="preserve"> </w:t>
      </w:r>
      <w:r w:rsidR="00F941FE">
        <w:rPr>
          <w:color w:val="333333"/>
        </w:rPr>
        <w:tab/>
      </w:r>
      <w:r w:rsidR="009D4B50">
        <w:rPr>
          <w:color w:val="333333"/>
        </w:rPr>
        <w:t xml:space="preserve">Consequently, the management system within the healthcare facility faces constraints in the regulations put on governance and implementation of procedures in their specific </w:t>
      </w:r>
      <w:r>
        <w:rPr>
          <w:color w:val="333333"/>
        </w:rPr>
        <w:t xml:space="preserve">On the other </w:t>
      </w:r>
      <w:r w:rsidR="009D4B50">
        <w:rPr>
          <w:color w:val="333333"/>
        </w:rPr>
        <w:t>hand;</w:t>
      </w:r>
      <w:r>
        <w:rPr>
          <w:color w:val="333333"/>
        </w:rPr>
        <w:t xml:space="preserve"> other policies regulate the governance and implementation of procedures within the healthcare system. </w:t>
      </w:r>
      <w:r w:rsidR="009D4B50">
        <w:rPr>
          <w:color w:val="333333"/>
        </w:rPr>
        <w:t xml:space="preserve">For instance, the management teams are supposed to spearhead the implementation of the major changes in the healthcare system meant to improve patient outcomes although under the mandate of the regulations set </w:t>
      </w:r>
      <w:r w:rsidR="00A40885">
        <w:rPr>
          <w:color w:val="333333"/>
        </w:rPr>
        <w:t>by law agencies</w:t>
      </w:r>
      <w:r>
        <w:rPr>
          <w:color w:val="333333"/>
        </w:rPr>
        <w:t>.</w:t>
      </w:r>
      <w:r w:rsidR="00A40885">
        <w:rPr>
          <w:color w:val="333333"/>
        </w:rPr>
        <w:t xml:space="preserve"> </w:t>
      </w:r>
      <w:r w:rsidR="000A1238">
        <w:rPr>
          <w:color w:val="333333"/>
        </w:rPr>
        <w:t>For example, the law healthcare policies give the requirements that each healthcare facility should implement the readmissions reduction program</w:t>
      </w:r>
      <w:r w:rsidR="008D402C">
        <w:rPr>
          <w:color w:val="333333"/>
        </w:rPr>
        <w:t xml:space="preserve"> </w:t>
      </w:r>
      <w:r w:rsidR="008D402C" w:rsidRPr="008D402C">
        <w:rPr>
          <w:color w:val="333333"/>
        </w:rPr>
        <w:t>(Lamont, Stewart, &amp; Chiarella, 2017)</w:t>
      </w:r>
      <w:r w:rsidR="000A1238">
        <w:rPr>
          <w:color w:val="333333"/>
        </w:rPr>
        <w:t xml:space="preserve">. It is evident that the healthcare facility has not fully implemented the program despite the efforts by the CMS to reduce the rate of payment to the IPPS hospitals having high rates of readmission. </w:t>
      </w:r>
    </w:p>
    <w:p w:rsidR="00A650CF" w:rsidRPr="001E61F5" w:rsidRDefault="00AB2CA1" w:rsidP="001E61F5">
      <w:pPr>
        <w:pStyle w:val="NormalWeb"/>
        <w:shd w:val="clear" w:color="auto" w:fill="FFFFFF"/>
        <w:spacing w:after="0" w:line="480" w:lineRule="auto"/>
        <w:jc w:val="center"/>
        <w:rPr>
          <w:b/>
          <w:color w:val="333333"/>
        </w:rPr>
      </w:pPr>
      <w:r w:rsidRPr="001E61F5">
        <w:rPr>
          <w:b/>
          <w:color w:val="333333"/>
        </w:rPr>
        <w:t xml:space="preserve">Leading the </w:t>
      </w:r>
      <w:r w:rsidR="000A1238" w:rsidRPr="001E61F5">
        <w:rPr>
          <w:b/>
          <w:color w:val="333333"/>
        </w:rPr>
        <w:t>Growth</w:t>
      </w:r>
      <w:r w:rsidRPr="001E61F5">
        <w:rPr>
          <w:b/>
          <w:color w:val="333333"/>
        </w:rPr>
        <w:t xml:space="preserve"> and </w:t>
      </w:r>
      <w:r w:rsidR="000A1238" w:rsidRPr="001E61F5">
        <w:rPr>
          <w:b/>
          <w:color w:val="333333"/>
        </w:rPr>
        <w:t>Execution</w:t>
      </w:r>
      <w:r w:rsidRPr="001E61F5">
        <w:rPr>
          <w:b/>
          <w:color w:val="333333"/>
        </w:rPr>
        <w:t xml:space="preserve"> of Ethically and Culturally Sensitive Policies</w:t>
      </w:r>
    </w:p>
    <w:p w:rsidR="00731F29" w:rsidRDefault="00AB2CA1" w:rsidP="00445BA2">
      <w:pPr>
        <w:pStyle w:val="NormalWeb"/>
        <w:shd w:val="clear" w:color="auto" w:fill="FFFFFF"/>
        <w:spacing w:after="0" w:line="480" w:lineRule="auto"/>
        <w:rPr>
          <w:color w:val="333333"/>
        </w:rPr>
      </w:pPr>
      <w:r>
        <w:rPr>
          <w:color w:val="333333"/>
        </w:rPr>
        <w:tab/>
      </w:r>
      <w:r w:rsidR="006669DA">
        <w:rPr>
          <w:color w:val="333333"/>
        </w:rPr>
        <w:t xml:space="preserve">There are different growth and execution of ethically and culturally sensitive policies that are geared towards the improvement of health outcomes </w:t>
      </w:r>
      <w:r w:rsidR="00731F29">
        <w:rPr>
          <w:color w:val="333333"/>
        </w:rPr>
        <w:t>at individual, organizational, and national levels</w:t>
      </w:r>
      <w:r w:rsidR="006669DA">
        <w:rPr>
          <w:color w:val="333333"/>
        </w:rPr>
        <w:t>.</w:t>
      </w:r>
      <w:r w:rsidR="004A53A4">
        <w:rPr>
          <w:color w:val="333333"/>
        </w:rPr>
        <w:t xml:space="preserve"> </w:t>
      </w:r>
      <w:r w:rsidR="00731F29">
        <w:rPr>
          <w:color w:val="333333"/>
        </w:rPr>
        <w:t>The first ethical practice has been reduction in the readmission rates in all public and private healthcare facilities</w:t>
      </w:r>
      <w:r w:rsidR="000D5CBB">
        <w:rPr>
          <w:color w:val="333333"/>
        </w:rPr>
        <w:t xml:space="preserve"> </w:t>
      </w:r>
      <w:r w:rsidR="000D5CBB" w:rsidRPr="000D5CBB">
        <w:rPr>
          <w:color w:val="333333"/>
        </w:rPr>
        <w:t>(Obama, 2016)</w:t>
      </w:r>
      <w:r w:rsidR="00731F29">
        <w:rPr>
          <w:color w:val="333333"/>
        </w:rPr>
        <w:t xml:space="preserve">. </w:t>
      </w:r>
      <w:r>
        <w:rPr>
          <w:color w:val="333333"/>
        </w:rPr>
        <w:t xml:space="preserve"> </w:t>
      </w:r>
      <w:r w:rsidR="00731F29">
        <w:rPr>
          <w:color w:val="333333"/>
        </w:rPr>
        <w:t xml:space="preserve">In this case, the CMS has made efforts in implementing the final rule, which is the FY 2018 IPPS/LTCH final rule, which provides information on the policies of payment for the hospital readmission and reduction program. The </w:t>
      </w:r>
      <w:r w:rsidR="00731F29">
        <w:rPr>
          <w:color w:val="333333"/>
        </w:rPr>
        <w:lastRenderedPageBreak/>
        <w:t xml:space="preserve">program is ethically sensitive as it has firstly defined readmission an admission that responds to the requirements of subsection (d), where healthcare facilities are required to reduce the number of readmissions within 30 days of discharge of the patient. The regulation agencies have established vital methodologies meant to calculate the  rates of readmission for each condition applicable. For instance, the UnitedHealth Group has already undertaken measures to update the readmission of pneumonia through expansion of the cohort to include the diagnostic procedures for patients having aspiration pneumonia, patients with sepsis. This program has excluded patients with severe cases of sepsis. </w:t>
      </w:r>
    </w:p>
    <w:p w:rsidR="002932E1" w:rsidRDefault="00731F29" w:rsidP="00731F29">
      <w:pPr>
        <w:pStyle w:val="NormalWeb"/>
        <w:shd w:val="clear" w:color="auto" w:fill="FFFFFF"/>
        <w:spacing w:after="0" w:line="480" w:lineRule="auto"/>
        <w:ind w:firstLine="720"/>
        <w:rPr>
          <w:color w:val="333333"/>
        </w:rPr>
      </w:pPr>
      <w:r>
        <w:rPr>
          <w:color w:val="333333"/>
        </w:rPr>
        <w:t xml:space="preserve">The healthcare facility also recognizes the need for a culturally competent system of healthcare, where the service provision entails considerations such as the social, cultural and physical orientation of the patients. </w:t>
      </w:r>
      <w:r w:rsidR="00DC0906">
        <w:rPr>
          <w:color w:val="333333"/>
        </w:rPr>
        <w:t>Such a healthcare system helps in the elimination of the social barriers such as racial segregation and staffing according to the gender orientations</w:t>
      </w:r>
      <w:r w:rsidR="000D5CBB">
        <w:rPr>
          <w:color w:val="333333"/>
        </w:rPr>
        <w:t xml:space="preserve"> </w:t>
      </w:r>
      <w:r w:rsidR="000D5CBB" w:rsidRPr="000D5CBB">
        <w:rPr>
          <w:color w:val="333333"/>
        </w:rPr>
        <w:t>(Lamont, Stewart, &amp; Chiarella, 2017)</w:t>
      </w:r>
      <w:r w:rsidR="00DC0906">
        <w:rPr>
          <w:color w:val="333333"/>
        </w:rPr>
        <w:t>. The UnitedHealth Group has improved in terms of responding to the ethical and cultural diversity issues. In this case, the healthcare facility has ensured that it trains its employees in cultural diversity, while all practitioners are required to act in the best interest of all patients.</w:t>
      </w:r>
    </w:p>
    <w:p w:rsidR="00AD0A78" w:rsidRPr="00AD0A78" w:rsidRDefault="00DC0906" w:rsidP="0010415E">
      <w:pPr>
        <w:pStyle w:val="NormalWeb"/>
        <w:shd w:val="clear" w:color="auto" w:fill="FFFFFF"/>
        <w:spacing w:after="0" w:line="480" w:lineRule="auto"/>
        <w:jc w:val="center"/>
        <w:rPr>
          <w:b/>
          <w:color w:val="333333"/>
        </w:rPr>
      </w:pPr>
      <w:r>
        <w:rPr>
          <w:b/>
          <w:color w:val="333333"/>
        </w:rPr>
        <w:t>Evaluating the Vital Performance Indicators</w:t>
      </w:r>
    </w:p>
    <w:p w:rsidR="009A39A5" w:rsidRDefault="00DC0906" w:rsidP="009A39A5">
      <w:pPr>
        <w:pStyle w:val="NormalWeb"/>
        <w:shd w:val="clear" w:color="auto" w:fill="FFFFFF"/>
        <w:spacing w:after="0" w:line="480" w:lineRule="auto"/>
        <w:ind w:firstLine="720"/>
        <w:rPr>
          <w:color w:val="333333"/>
        </w:rPr>
      </w:pPr>
      <w:r>
        <w:rPr>
          <w:color w:val="333333"/>
        </w:rPr>
        <w:t>Healthcare observers have put in place the vital performance indicators, which are determined from the benchmarks research as well as setting up best-practice policies. The best applicable dashboard metrics for the UnitedHealth Group is setting up a structure for determination of these benchmarks</w:t>
      </w:r>
      <w:r w:rsidR="000D5CBB">
        <w:rPr>
          <w:color w:val="333333"/>
        </w:rPr>
        <w:t xml:space="preserve"> </w:t>
      </w:r>
      <w:r w:rsidR="000D5CBB" w:rsidRPr="000D5CBB">
        <w:rPr>
          <w:color w:val="333333"/>
        </w:rPr>
        <w:t>(Obama, 2016)</w:t>
      </w:r>
      <w:r>
        <w:rPr>
          <w:color w:val="333333"/>
        </w:rPr>
        <w:t xml:space="preserve">. In this case, the healthcare facility uses functionalities such as accessibility, accountability and legitimacy to match its improvement of patient outcomes with the change management practices. The facility has objective indicators of </w:t>
      </w:r>
      <w:r>
        <w:rPr>
          <w:color w:val="333333"/>
        </w:rPr>
        <w:lastRenderedPageBreak/>
        <w:t>performance, which help in the determination of intervention programs such as change management practices. Such indicators are in line with the federal regulations, where the operations meet the federal, local and state policies</w:t>
      </w:r>
      <w:r w:rsidR="000D5CBB">
        <w:rPr>
          <w:color w:val="333333"/>
        </w:rPr>
        <w:t xml:space="preserve"> </w:t>
      </w:r>
      <w:r w:rsidR="000D5CBB" w:rsidRPr="000D5CBB">
        <w:rPr>
          <w:color w:val="333333"/>
        </w:rPr>
        <w:t>(Obama, 2016)</w:t>
      </w:r>
      <w:r>
        <w:rPr>
          <w:color w:val="333333"/>
        </w:rPr>
        <w:t xml:space="preserve">. Moreover, the </w:t>
      </w:r>
      <w:r w:rsidR="009A39A5">
        <w:rPr>
          <w:color w:val="333333"/>
        </w:rPr>
        <w:t xml:space="preserve">healthcare facility uses these performance measures to report and account for the results within the intervention programs apart from ensuring that the benchmarks set by the regulation agencies are met. </w:t>
      </w:r>
    </w:p>
    <w:p w:rsidR="009A39A5" w:rsidRDefault="009A39A5" w:rsidP="009A39A5">
      <w:pPr>
        <w:pStyle w:val="NormalWeb"/>
        <w:shd w:val="clear" w:color="auto" w:fill="FFFFFF"/>
        <w:spacing w:after="0" w:line="480" w:lineRule="auto"/>
        <w:ind w:firstLine="720"/>
        <w:rPr>
          <w:color w:val="333333"/>
        </w:rPr>
      </w:pPr>
      <w:r>
        <w:rPr>
          <w:color w:val="333333"/>
        </w:rPr>
        <w:t>The major benchmark used in the key performance indicators, which determines the ways in which the healthcare organization reaches out to its major goals. For instance, there are modes of measuring the patient outcomes depending on the quality of service improvement. One key measure has been that the management measures the rate at which an intervention program results in positive outcomes</w:t>
      </w:r>
      <w:r w:rsidR="000D5CBB">
        <w:rPr>
          <w:color w:val="333333"/>
        </w:rPr>
        <w:t xml:space="preserve"> </w:t>
      </w:r>
      <w:r w:rsidR="000D5CBB" w:rsidRPr="000D5CBB">
        <w:rPr>
          <w:color w:val="333333"/>
        </w:rPr>
        <w:t>(Lamont, Stewart, &amp; Chiarella, 2017)</w:t>
      </w:r>
      <w:r>
        <w:rPr>
          <w:color w:val="333333"/>
        </w:rPr>
        <w:t xml:space="preserve">. For instance, the management teams have a means of evaluating the cycle of treatment of a patient and the readmission rates, which have metric measures. The healthcare facility uses the readjustment factors for readmission to know the correlation between patient outcomes and the quality of service offered. </w:t>
      </w:r>
    </w:p>
    <w:p w:rsidR="009A39A5" w:rsidRDefault="009A39A5" w:rsidP="009A39A5">
      <w:pPr>
        <w:pStyle w:val="NormalWeb"/>
        <w:shd w:val="clear" w:color="auto" w:fill="FFFFFF"/>
        <w:spacing w:after="0" w:line="480" w:lineRule="auto"/>
        <w:ind w:firstLine="720"/>
        <w:rPr>
          <w:color w:val="333333"/>
        </w:rPr>
      </w:pPr>
      <w:r>
        <w:rPr>
          <w:color w:val="333333"/>
        </w:rPr>
        <w:t>The excess ration for readmission at the healthcare facility is collinear with the federal policy requirements, where it involves the risks, the adjusted predicted readmissions as well as the adjusted rate expected in terms of readmission</w:t>
      </w:r>
      <w:r w:rsidR="000D5CBB">
        <w:rPr>
          <w:color w:val="333333"/>
        </w:rPr>
        <w:t xml:space="preserve"> (Memon et al., </w:t>
      </w:r>
      <w:bookmarkStart w:id="0" w:name="_GoBack"/>
      <w:bookmarkEnd w:id="0"/>
      <w:r w:rsidR="000D5CBB" w:rsidRPr="000D5CBB">
        <w:rPr>
          <w:color w:val="333333"/>
        </w:rPr>
        <w:t>2014)</w:t>
      </w:r>
      <w:r>
        <w:rPr>
          <w:color w:val="333333"/>
        </w:rPr>
        <w:t xml:space="preserve">. The facility also has a means of calculating the aggregate payments for all discharges, which is defined as the sum of base </w:t>
      </w:r>
      <w:r w:rsidR="00423CE8">
        <w:rPr>
          <w:color w:val="333333"/>
        </w:rPr>
        <w:t>that operates in the DRG. This can help in resolving issues related to the rates of readmission and modes of spending to improve patient outcomes.</w:t>
      </w:r>
    </w:p>
    <w:p w:rsidR="00423CE8" w:rsidRDefault="00AB2CA1" w:rsidP="00AD0A78">
      <w:pPr>
        <w:pStyle w:val="NormalWeb"/>
        <w:shd w:val="clear" w:color="auto" w:fill="FFFFFF"/>
        <w:spacing w:after="0" w:line="480" w:lineRule="auto"/>
        <w:ind w:firstLine="720"/>
        <w:rPr>
          <w:color w:val="333333"/>
        </w:rPr>
      </w:pPr>
      <w:r>
        <w:rPr>
          <w:color w:val="333333"/>
        </w:rPr>
        <w:t xml:space="preserve">The </w:t>
      </w:r>
      <w:r w:rsidR="00423CE8">
        <w:rPr>
          <w:color w:val="333333"/>
        </w:rPr>
        <w:t xml:space="preserve">benchmarks have also been valuable in determining the way the healthcare facility spends its finances and other non-financial resources. For instance, the organization can use the total expenses per patient and understand the total financial estimated costs that can aid in the </w:t>
      </w:r>
      <w:r w:rsidR="00423CE8">
        <w:rPr>
          <w:color w:val="333333"/>
        </w:rPr>
        <w:lastRenderedPageBreak/>
        <w:t>improvement of care. The benchmarks can also help in the determination of the patient-nurse ratio, a factor that determines the healthcare outcomes</w:t>
      </w:r>
      <w:r w:rsidR="000D5CBB">
        <w:rPr>
          <w:color w:val="333333"/>
        </w:rPr>
        <w:t xml:space="preserve"> </w:t>
      </w:r>
      <w:r w:rsidR="000D5CBB" w:rsidRPr="000D5CBB">
        <w:rPr>
          <w:color w:val="333333"/>
        </w:rPr>
        <w:t>(Obama, 2016)</w:t>
      </w:r>
      <w:r w:rsidR="00423CE8">
        <w:rPr>
          <w:color w:val="333333"/>
        </w:rPr>
        <w:t xml:space="preserve">. In this case, knowing the ration can help the healthcare facility to understand the deficits in staff and put in place measures to ensure that there are sound staffing mechanisms that can fill the gap. </w:t>
      </w:r>
    </w:p>
    <w:p w:rsidR="003D1886" w:rsidRDefault="00423CE8" w:rsidP="00AD0A78">
      <w:pPr>
        <w:pStyle w:val="NormalWeb"/>
        <w:shd w:val="clear" w:color="auto" w:fill="FFFFFF"/>
        <w:spacing w:after="0" w:line="480" w:lineRule="auto"/>
        <w:ind w:firstLine="720"/>
        <w:rPr>
          <w:b/>
          <w:color w:val="333333"/>
        </w:rPr>
      </w:pPr>
      <w:r>
        <w:rPr>
          <w:b/>
          <w:color w:val="333333"/>
        </w:rPr>
        <w:t>How to communicate with</w:t>
      </w:r>
      <w:r w:rsidR="00AB2CA1" w:rsidRPr="007F5C64">
        <w:rPr>
          <w:b/>
          <w:color w:val="333333"/>
        </w:rPr>
        <w:t xml:space="preserve"> Policymakers, stakeh</w:t>
      </w:r>
      <w:r>
        <w:rPr>
          <w:b/>
          <w:color w:val="333333"/>
        </w:rPr>
        <w:t>olders, colleagues, and patients</w:t>
      </w:r>
    </w:p>
    <w:p w:rsidR="00423CE8" w:rsidRPr="00423CE8" w:rsidRDefault="00423CE8" w:rsidP="00AD0A78">
      <w:pPr>
        <w:pStyle w:val="NormalWeb"/>
        <w:shd w:val="clear" w:color="auto" w:fill="FFFFFF"/>
        <w:spacing w:after="0" w:line="480" w:lineRule="auto"/>
        <w:ind w:firstLine="720"/>
        <w:rPr>
          <w:color w:val="333333"/>
        </w:rPr>
      </w:pPr>
      <w:r w:rsidRPr="00423CE8">
        <w:rPr>
          <w:color w:val="333333"/>
        </w:rPr>
        <w:t xml:space="preserve">Consistent communication among stakeholders in the healthcare system helps in setting up </w:t>
      </w:r>
      <w:r w:rsidR="000D5CBB" w:rsidRPr="00423CE8">
        <w:rPr>
          <w:color w:val="333333"/>
        </w:rPr>
        <w:t>all-inclusive</w:t>
      </w:r>
      <w:r w:rsidRPr="00423CE8">
        <w:rPr>
          <w:color w:val="333333"/>
        </w:rPr>
        <w:t xml:space="preserve"> policies meant to respond to the issue of improved outcomes. </w:t>
      </w:r>
      <w:r w:rsidR="006E5344">
        <w:rPr>
          <w:color w:val="333333"/>
        </w:rPr>
        <w:t>Communication in vital healthcare has become one of the most vital tools that help in the provision of great patient care as well as improvement of the satisfaction levels of consumers. Healthcare practitioners must speak with patients as a way of determining their needs and finding ways of solving problems. There are different modes of communication that can be used in the course of finding solutions to patient problems</w:t>
      </w:r>
      <w:r w:rsidR="000D5CBB">
        <w:rPr>
          <w:color w:val="333333"/>
        </w:rPr>
        <w:t xml:space="preserve"> </w:t>
      </w:r>
      <w:r w:rsidR="000D5CBB" w:rsidRPr="000D5CBB">
        <w:rPr>
          <w:color w:val="333333"/>
        </w:rPr>
        <w:t>(Lamont, Stewart, &amp; Chiarella, 2017)</w:t>
      </w:r>
      <w:r w:rsidR="006E5344">
        <w:rPr>
          <w:color w:val="333333"/>
        </w:rPr>
        <w:t>. For instance, passive form of communication entails developing patterns in avoiding the expression of opinions and feelings. In this case, the stakeholders and nurses can take the initiative of protecting the rights of patients and finding the means of responding to their needs. The other mode of communication is the active form, where all stakeholders may find the need of expressing their opinions and feelings to win the confidence of patients. Moreover, stakeholders can use the passive form of communication to air their complaints to the policy agencies.</w:t>
      </w:r>
    </w:p>
    <w:p w:rsidR="006141A2" w:rsidRPr="007F5C64" w:rsidRDefault="00AB2CA1" w:rsidP="007F5C64">
      <w:pPr>
        <w:pStyle w:val="NormalWeb"/>
        <w:shd w:val="clear" w:color="auto" w:fill="FFFFFF"/>
        <w:spacing w:after="0" w:line="480" w:lineRule="auto"/>
        <w:ind w:firstLine="720"/>
        <w:jc w:val="center"/>
        <w:rPr>
          <w:b/>
          <w:color w:val="333333"/>
        </w:rPr>
      </w:pPr>
      <w:r w:rsidRPr="007F5C64">
        <w:rPr>
          <w:b/>
          <w:color w:val="333333"/>
        </w:rPr>
        <w:t>Conclusion</w:t>
      </w:r>
    </w:p>
    <w:p w:rsidR="00F911E3" w:rsidRDefault="008D402C" w:rsidP="008D402C">
      <w:pPr>
        <w:pStyle w:val="NormalWeb"/>
        <w:shd w:val="clear" w:color="auto" w:fill="FFFFFF"/>
        <w:spacing w:after="0" w:line="480" w:lineRule="auto"/>
        <w:ind w:firstLine="720"/>
        <w:rPr>
          <w:color w:val="333333"/>
        </w:rPr>
      </w:pPr>
      <w:r>
        <w:rPr>
          <w:color w:val="333333"/>
        </w:rPr>
        <w:t xml:space="preserve">This paper has shown that finding the means of meeting the standards in healthcare is the best tool in responding to the needs of patients. There are different levels with which the policy makers and law enforcers influence decisions within the healthcare system. It is evident that these laws constraint management boards within the healthcare facilities to make sound decisions </w:t>
      </w:r>
      <w:r>
        <w:rPr>
          <w:color w:val="333333"/>
        </w:rPr>
        <w:lastRenderedPageBreak/>
        <w:t>regarding patient outcomes. For instance, the UnitedHealth Group has used the law requirements to ensure that the spending rates are in line with law. The facility has also ensured that the rate of readmission is reduced, which a requirement that is set by the federal agencies</w:t>
      </w:r>
      <w:r w:rsidR="00AB2CA1">
        <w:rPr>
          <w:color w:val="333333"/>
        </w:rPr>
        <w:t xml:space="preserve">. </w:t>
      </w:r>
    </w:p>
    <w:p w:rsidR="008D402C" w:rsidRDefault="008D402C">
      <w:pPr>
        <w:rPr>
          <w:rFonts w:ascii="Times New Roman" w:eastAsia="Times New Roman" w:hAnsi="Times New Roman" w:cs="Times New Roman"/>
          <w:color w:val="333333"/>
          <w:sz w:val="24"/>
          <w:szCs w:val="24"/>
        </w:rPr>
      </w:pPr>
      <w:r>
        <w:rPr>
          <w:color w:val="333333"/>
        </w:rPr>
        <w:br w:type="page"/>
      </w:r>
    </w:p>
    <w:p w:rsidR="008D402C" w:rsidRDefault="008D402C" w:rsidP="008D402C">
      <w:pPr>
        <w:pStyle w:val="NormalWeb"/>
        <w:shd w:val="clear" w:color="auto" w:fill="FFFFFF"/>
        <w:spacing w:after="0" w:line="480" w:lineRule="auto"/>
        <w:ind w:firstLine="720"/>
        <w:jc w:val="center"/>
        <w:rPr>
          <w:color w:val="333333"/>
        </w:rPr>
      </w:pPr>
      <w:r>
        <w:rPr>
          <w:color w:val="333333"/>
        </w:rPr>
        <w:lastRenderedPageBreak/>
        <w:t>References</w:t>
      </w:r>
    </w:p>
    <w:p w:rsidR="008D402C" w:rsidRPr="008D402C" w:rsidRDefault="008D402C" w:rsidP="008D402C">
      <w:pPr>
        <w:pStyle w:val="NormalWeb"/>
        <w:shd w:val="clear" w:color="auto" w:fill="FFFFFF"/>
        <w:spacing w:after="0" w:line="480" w:lineRule="auto"/>
        <w:ind w:left="720" w:hanging="720"/>
        <w:rPr>
          <w:color w:val="222222"/>
          <w:shd w:val="clear" w:color="auto" w:fill="FFFFFF"/>
        </w:rPr>
      </w:pPr>
      <w:r w:rsidRPr="008D402C">
        <w:rPr>
          <w:color w:val="222222"/>
          <w:shd w:val="clear" w:color="auto" w:fill="FFFFFF"/>
        </w:rPr>
        <w:t>Lamont, S., Stewart, C., &amp; Chiarella, M. (2017). Capacity and consent: Knowledge and practice of legal and healthcare standards. </w:t>
      </w:r>
      <w:r w:rsidRPr="008D402C">
        <w:rPr>
          <w:i/>
          <w:iCs/>
          <w:color w:val="222222"/>
          <w:shd w:val="clear" w:color="auto" w:fill="FFFFFF"/>
        </w:rPr>
        <w:t>Nursing ethics</w:t>
      </w:r>
      <w:r w:rsidRPr="008D402C">
        <w:rPr>
          <w:color w:val="222222"/>
          <w:shd w:val="clear" w:color="auto" w:fill="FFFFFF"/>
        </w:rPr>
        <w:t>, 0969733016687162.</w:t>
      </w:r>
    </w:p>
    <w:p w:rsidR="008D402C" w:rsidRDefault="008D402C" w:rsidP="008D402C">
      <w:pPr>
        <w:pStyle w:val="NormalWeb"/>
        <w:shd w:val="clear" w:color="auto" w:fill="FFFFFF"/>
        <w:spacing w:after="0" w:line="480" w:lineRule="auto"/>
        <w:ind w:left="720" w:hanging="720"/>
        <w:rPr>
          <w:rFonts w:ascii="Arial" w:hAnsi="Arial" w:cs="Arial"/>
          <w:color w:val="222222"/>
          <w:sz w:val="20"/>
          <w:szCs w:val="20"/>
          <w:shd w:val="clear" w:color="auto" w:fill="FFFFFF"/>
        </w:rPr>
      </w:pPr>
      <w:r w:rsidRPr="008D402C">
        <w:rPr>
          <w:color w:val="222222"/>
          <w:shd w:val="clear" w:color="auto" w:fill="FFFFFF"/>
        </w:rPr>
        <w:t>Memon, M., Wagner, S. R., Pedersen, C. F., Beevi, F. H. A., &amp; Hansen, F. O. (2014). Ambient assisted living healthcare frameworks, platforms, standards, and quality attributes. </w:t>
      </w:r>
      <w:r w:rsidRPr="008D402C">
        <w:rPr>
          <w:i/>
          <w:iCs/>
          <w:color w:val="222222"/>
          <w:shd w:val="clear" w:color="auto" w:fill="FFFFFF"/>
        </w:rPr>
        <w:t>Sensors</w:t>
      </w:r>
      <w:r w:rsidRPr="008D402C">
        <w:rPr>
          <w:color w:val="222222"/>
          <w:shd w:val="clear" w:color="auto" w:fill="FFFFFF"/>
        </w:rPr>
        <w:t>, </w:t>
      </w:r>
      <w:r w:rsidRPr="008D402C">
        <w:rPr>
          <w:i/>
          <w:iCs/>
          <w:color w:val="222222"/>
          <w:shd w:val="clear" w:color="auto" w:fill="FFFFFF"/>
        </w:rPr>
        <w:t>14</w:t>
      </w:r>
      <w:r w:rsidRPr="008D402C">
        <w:rPr>
          <w:color w:val="222222"/>
          <w:shd w:val="clear" w:color="auto" w:fill="FFFFFF"/>
        </w:rPr>
        <w:t>(3), 4312-4341.</w:t>
      </w:r>
    </w:p>
    <w:p w:rsidR="008D402C" w:rsidRPr="008D402C" w:rsidRDefault="008D402C" w:rsidP="008D402C">
      <w:pPr>
        <w:pStyle w:val="NormalWeb"/>
        <w:shd w:val="clear" w:color="auto" w:fill="FFFFFF"/>
        <w:spacing w:after="0" w:line="480" w:lineRule="auto"/>
        <w:ind w:left="720" w:hanging="720"/>
        <w:rPr>
          <w:color w:val="222222"/>
          <w:shd w:val="clear" w:color="auto" w:fill="FFFFFF"/>
        </w:rPr>
      </w:pPr>
      <w:r w:rsidRPr="008D402C">
        <w:rPr>
          <w:color w:val="222222"/>
          <w:shd w:val="clear" w:color="auto" w:fill="FFFFFF"/>
        </w:rPr>
        <w:t>Obama, B. (2016). United States health care reform: progress to date and next steps. </w:t>
      </w:r>
      <w:r w:rsidRPr="008D402C">
        <w:rPr>
          <w:i/>
          <w:iCs/>
          <w:color w:val="222222"/>
          <w:shd w:val="clear" w:color="auto" w:fill="FFFFFF"/>
        </w:rPr>
        <w:t>Jama</w:t>
      </w:r>
      <w:r w:rsidRPr="008D402C">
        <w:rPr>
          <w:color w:val="222222"/>
          <w:shd w:val="clear" w:color="auto" w:fill="FFFFFF"/>
        </w:rPr>
        <w:t>, </w:t>
      </w:r>
      <w:r w:rsidRPr="008D402C">
        <w:rPr>
          <w:i/>
          <w:iCs/>
          <w:color w:val="222222"/>
          <w:shd w:val="clear" w:color="auto" w:fill="FFFFFF"/>
        </w:rPr>
        <w:t>316</w:t>
      </w:r>
      <w:r w:rsidRPr="008D402C">
        <w:rPr>
          <w:color w:val="222222"/>
          <w:shd w:val="clear" w:color="auto" w:fill="FFFFFF"/>
        </w:rPr>
        <w:t>(5), 525-532.</w:t>
      </w:r>
    </w:p>
    <w:p w:rsidR="008D402C" w:rsidRDefault="008D402C" w:rsidP="008D402C">
      <w:pPr>
        <w:pStyle w:val="NormalWeb"/>
        <w:shd w:val="clear" w:color="auto" w:fill="FFFFFF"/>
        <w:spacing w:after="0" w:line="480" w:lineRule="auto"/>
        <w:rPr>
          <w:color w:val="333333"/>
        </w:rPr>
      </w:pPr>
    </w:p>
    <w:p w:rsidR="008D402C" w:rsidRDefault="008D402C" w:rsidP="008D402C">
      <w:pPr>
        <w:pStyle w:val="NormalWeb"/>
        <w:shd w:val="clear" w:color="auto" w:fill="FFFFFF"/>
        <w:spacing w:after="0" w:line="480" w:lineRule="auto"/>
        <w:ind w:firstLine="720"/>
        <w:rPr>
          <w:color w:val="333333"/>
        </w:rPr>
      </w:pPr>
    </w:p>
    <w:p w:rsidR="00F911E3" w:rsidRPr="00F911E3" w:rsidRDefault="00D44D33" w:rsidP="00F911E3">
      <w:pPr>
        <w:pStyle w:val="NormalWeb"/>
        <w:shd w:val="clear" w:color="auto" w:fill="FFFFFF"/>
        <w:spacing w:after="0" w:line="480" w:lineRule="auto"/>
        <w:ind w:left="720" w:hanging="720"/>
        <w:rPr>
          <w:color w:val="333333"/>
        </w:rPr>
      </w:pPr>
    </w:p>
    <w:sectPr w:rsidR="00F911E3" w:rsidRPr="00F911E3" w:rsidSect="002776F1">
      <w:headerReference w:type="default" r:id="rId8"/>
      <w:headerReference w:type="first" r:id="rId9"/>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5219ADE7" w15:done="0"/>
  <w15:commentEx w15:paraId="C72BC7A6" w15:done="0"/>
  <w15:commentEx w15:paraId="C5C8ACC9" w15:done="0"/>
  <w15:commentEx w15:paraId="D900D377" w15:done="0"/>
  <w15:commentEx w15:paraId="4F7A264F" w15:done="0"/>
  <w15:commentEx w15:paraId="B6F934CD" w15:done="0"/>
  <w15:commentEx w15:paraId="13689C46" w15:done="0"/>
  <w15:commentEx w15:paraId="182491FC" w15:done="0"/>
  <w15:commentEx w15:paraId="03A31C52" w15:done="0"/>
  <w15:commentEx w15:paraId="044C884C" w15:done="0"/>
  <w15:commentEx w15:paraId="288406D3" w15:done="0"/>
  <w15:commentEx w15:paraId="0CB4F94F" w15:done="0"/>
  <w15:commentEx w15:paraId="335B532C" w15:done="0"/>
  <w15:commentEx w15:paraId="07BF5357" w15:done="0"/>
  <w15:commentEx w15:paraId="347ADC3E" w15:done="0"/>
  <w15:commentEx w15:paraId="7EA55D6B" w15:done="0"/>
  <w15:commentEx w15:paraId="69096CCF" w15:done="0"/>
  <w15:commentEx w15:paraId="2D4FC01A" w15:done="0"/>
  <w15:commentEx w15:paraId="49C433A4" w15:done="0"/>
  <w15:commentEx w15:paraId="D080559D" w15:done="0"/>
  <w15:commentEx w15:paraId="C04C2EF9" w15:done="0"/>
  <w15:commentEx w15:paraId="DEC2DADE" w15:done="0"/>
  <w15:commentEx w15:paraId="90EF5A56" w15:done="0"/>
  <w15:commentEx w15:paraId="54D3DF08" w15:done="0"/>
  <w15:commentEx w15:paraId="FF5A748A" w15:done="0"/>
  <w15:commentEx w15:paraId="C3D61D88" w15:done="0"/>
  <w15:commentEx w15:paraId="D39B3538" w15:done="0"/>
  <w15:commentEx w15:paraId="604C4B04" w15:done="0"/>
  <w15:commentEx w15:paraId="E8F33829" w15:done="0"/>
  <w15:commentEx w15:paraId="0822CC28" w15:done="0"/>
  <w15:commentEx w15:paraId="7022D60A" w15:done="0"/>
  <w15:commentEx w15:paraId="21946E21" w15:done="0"/>
  <w15:commentEx w15:paraId="C45E3201" w15:done="0"/>
  <w15:commentEx w15:paraId="4C4AAD12" w15:done="0"/>
  <w15:commentEx w15:paraId="C38D5E92" w15:done="0"/>
  <w15:commentEx w15:paraId="9DE4389A" w15:done="0"/>
  <w15:commentEx w15:paraId="FB3449C6" w15:done="0"/>
  <w15:commentEx w15:paraId="1F09A465" w15:done="0"/>
  <w15:commentEx w15:paraId="CAA9C275" w15:done="0"/>
  <w15:commentEx w15:paraId="EC00B596" w15:done="0"/>
  <w15:commentEx w15:paraId="C99C9EEA" w15:done="0"/>
  <w15:commentEx w15:paraId="EA408F22" w15:done="0"/>
  <w15:commentEx w15:paraId="B9271A7F" w15:done="0"/>
  <w15:commentEx w15:paraId="9A2BEC05" w15:done="0"/>
  <w15:commentEx w15:paraId="CB595D72" w15:done="0"/>
  <w15:commentEx w15:paraId="51F39C20" w15:done="0"/>
  <w15:commentEx w15:paraId="B64F9057" w15:done="0"/>
  <w15:commentEx w15:paraId="78BA0BBF" w15:done="0"/>
  <w15:commentEx w15:paraId="0B62DFE6" w15:done="0"/>
  <w15:commentEx w15:paraId="C282DFFF" w15:done="0"/>
  <w15:commentEx w15:paraId="F9F1B31C" w15:done="0"/>
  <w15:commentEx w15:paraId="D3B6BFE4" w15:done="0"/>
  <w15:commentEx w15:paraId="F683A7E0" w15:done="0"/>
  <w15:commentEx w15:paraId="9377D43D" w15:done="0"/>
  <w15:commentEx w15:paraId="5AACA130" w15:done="0"/>
  <w15:commentEx w15:paraId="85D49591"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4D33" w:rsidRDefault="00D44D33">
      <w:pPr>
        <w:spacing w:after="0" w:line="240" w:lineRule="auto"/>
      </w:pPr>
      <w:r>
        <w:separator/>
      </w:r>
    </w:p>
  </w:endnote>
  <w:endnote w:type="continuationSeparator" w:id="1">
    <w:p w:rsidR="00D44D33" w:rsidRDefault="00D44D3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4D33" w:rsidRDefault="00D44D33">
      <w:pPr>
        <w:spacing w:after="0" w:line="240" w:lineRule="auto"/>
      </w:pPr>
      <w:r>
        <w:separator/>
      </w:r>
    </w:p>
  </w:footnote>
  <w:footnote w:type="continuationSeparator" w:id="1">
    <w:p w:rsidR="00D44D33" w:rsidRDefault="00D44D3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6F1" w:rsidRPr="002776F1" w:rsidRDefault="00AB2CA1">
    <w:pPr>
      <w:pStyle w:val="Header"/>
      <w:rPr>
        <w:rFonts w:ascii="Times New Roman" w:hAnsi="Times New Roman" w:cs="Times New Roman"/>
        <w:sz w:val="24"/>
        <w:szCs w:val="24"/>
      </w:rPr>
    </w:pPr>
    <w:r>
      <w:rPr>
        <w:rFonts w:ascii="Times New Roman" w:hAnsi="Times New Roman" w:cs="Times New Roman"/>
        <w:sz w:val="24"/>
        <w:szCs w:val="24"/>
      </w:rPr>
      <w:t xml:space="preserve">REFORMS IN HEALTHCARE                                                    </w:t>
    </w:r>
    <w:r>
      <w:rPr>
        <w:rFonts w:ascii="Times New Roman" w:hAnsi="Times New Roman" w:cs="Times New Roman"/>
        <w:sz w:val="24"/>
        <w:szCs w:val="24"/>
      </w:rPr>
      <w:tab/>
    </w:r>
    <w:r w:rsidR="0070348A" w:rsidRPr="002776F1">
      <w:rPr>
        <w:rFonts w:ascii="Times New Roman" w:hAnsi="Times New Roman" w:cs="Times New Roman"/>
        <w:sz w:val="24"/>
        <w:szCs w:val="24"/>
      </w:rPr>
      <w:fldChar w:fldCharType="begin"/>
    </w:r>
    <w:r w:rsidRPr="002776F1">
      <w:rPr>
        <w:rFonts w:ascii="Times New Roman" w:hAnsi="Times New Roman" w:cs="Times New Roman"/>
        <w:sz w:val="24"/>
        <w:szCs w:val="24"/>
      </w:rPr>
      <w:instrText xml:space="preserve"> PAGE   \* MERGEFORMAT </w:instrText>
    </w:r>
    <w:r w:rsidR="0070348A" w:rsidRPr="002776F1">
      <w:rPr>
        <w:rFonts w:ascii="Times New Roman" w:hAnsi="Times New Roman" w:cs="Times New Roman"/>
        <w:sz w:val="24"/>
        <w:szCs w:val="24"/>
      </w:rPr>
      <w:fldChar w:fldCharType="separate"/>
    </w:r>
    <w:r w:rsidR="00273030">
      <w:rPr>
        <w:rFonts w:ascii="Times New Roman" w:hAnsi="Times New Roman" w:cs="Times New Roman"/>
        <w:noProof/>
        <w:sz w:val="24"/>
        <w:szCs w:val="24"/>
      </w:rPr>
      <w:t>2</w:t>
    </w:r>
    <w:r w:rsidR="0070348A" w:rsidRPr="002776F1">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6F1" w:rsidRPr="002776F1" w:rsidRDefault="00AB2CA1">
    <w:pPr>
      <w:pStyle w:val="Header"/>
      <w:rPr>
        <w:rFonts w:ascii="Times New Roman" w:hAnsi="Times New Roman" w:cs="Times New Roman"/>
        <w:sz w:val="24"/>
        <w:szCs w:val="24"/>
      </w:rPr>
    </w:pPr>
    <w:r w:rsidRPr="002776F1">
      <w:rPr>
        <w:rFonts w:ascii="Times New Roman" w:hAnsi="Times New Roman" w:cs="Times New Roman"/>
        <w:sz w:val="24"/>
        <w:szCs w:val="24"/>
      </w:rPr>
      <w:t xml:space="preserve">Running head: </w:t>
    </w:r>
    <w:r>
      <w:rPr>
        <w:rFonts w:ascii="Times New Roman" w:hAnsi="Times New Roman" w:cs="Times New Roman"/>
        <w:sz w:val="24"/>
        <w:szCs w:val="24"/>
      </w:rPr>
      <w:t xml:space="preserve">REFORMS IN HEALTHCARE                   </w:t>
    </w:r>
    <w:r w:rsidRPr="002776F1">
      <w:rPr>
        <w:rFonts w:ascii="Times New Roman" w:hAnsi="Times New Roman" w:cs="Times New Roman"/>
        <w:sz w:val="24"/>
        <w:szCs w:val="24"/>
      </w:rPr>
      <w:tab/>
    </w:r>
    <w:r w:rsidR="0070348A" w:rsidRPr="002776F1">
      <w:rPr>
        <w:rFonts w:ascii="Times New Roman" w:hAnsi="Times New Roman" w:cs="Times New Roman"/>
        <w:sz w:val="24"/>
        <w:szCs w:val="24"/>
      </w:rPr>
      <w:fldChar w:fldCharType="begin"/>
    </w:r>
    <w:r w:rsidRPr="002776F1">
      <w:rPr>
        <w:rFonts w:ascii="Times New Roman" w:hAnsi="Times New Roman" w:cs="Times New Roman"/>
        <w:sz w:val="24"/>
        <w:szCs w:val="24"/>
      </w:rPr>
      <w:instrText xml:space="preserve"> PAGE   \* MERGEFORMAT </w:instrText>
    </w:r>
    <w:r w:rsidR="0070348A" w:rsidRPr="002776F1">
      <w:rPr>
        <w:rFonts w:ascii="Times New Roman" w:hAnsi="Times New Roman" w:cs="Times New Roman"/>
        <w:sz w:val="24"/>
        <w:szCs w:val="24"/>
      </w:rPr>
      <w:fldChar w:fldCharType="separate"/>
    </w:r>
    <w:r w:rsidR="00273030">
      <w:rPr>
        <w:rFonts w:ascii="Times New Roman" w:hAnsi="Times New Roman" w:cs="Times New Roman"/>
        <w:noProof/>
        <w:sz w:val="24"/>
        <w:szCs w:val="24"/>
      </w:rPr>
      <w:t>1</w:t>
    </w:r>
    <w:r w:rsidR="0070348A" w:rsidRPr="002776F1">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170F0A"/>
    <w:multiLevelType w:val="hybridMultilevel"/>
    <w:tmpl w:val="6CA437D6"/>
    <w:lvl w:ilvl="0" w:tplc="495A50A6">
      <w:start w:val="1"/>
      <w:numFmt w:val="decimal"/>
      <w:lvlText w:val="%1."/>
      <w:lvlJc w:val="left"/>
      <w:pPr>
        <w:ind w:left="0" w:hanging="360"/>
      </w:pPr>
      <w:rPr>
        <w:rFonts w:eastAsia="Arial" w:hint="default"/>
      </w:rPr>
    </w:lvl>
    <w:lvl w:ilvl="1" w:tplc="4764223C" w:tentative="1">
      <w:start w:val="1"/>
      <w:numFmt w:val="lowerLetter"/>
      <w:lvlText w:val="%2."/>
      <w:lvlJc w:val="left"/>
      <w:pPr>
        <w:ind w:left="720" w:hanging="360"/>
      </w:pPr>
    </w:lvl>
    <w:lvl w:ilvl="2" w:tplc="A1AA66B8" w:tentative="1">
      <w:start w:val="1"/>
      <w:numFmt w:val="lowerRoman"/>
      <w:lvlText w:val="%3."/>
      <w:lvlJc w:val="right"/>
      <w:pPr>
        <w:ind w:left="1440" w:hanging="180"/>
      </w:pPr>
    </w:lvl>
    <w:lvl w:ilvl="3" w:tplc="1D605FE6" w:tentative="1">
      <w:start w:val="1"/>
      <w:numFmt w:val="decimal"/>
      <w:lvlText w:val="%4."/>
      <w:lvlJc w:val="left"/>
      <w:pPr>
        <w:ind w:left="2160" w:hanging="360"/>
      </w:pPr>
    </w:lvl>
    <w:lvl w:ilvl="4" w:tplc="56CAF440" w:tentative="1">
      <w:start w:val="1"/>
      <w:numFmt w:val="lowerLetter"/>
      <w:lvlText w:val="%5."/>
      <w:lvlJc w:val="left"/>
      <w:pPr>
        <w:ind w:left="2880" w:hanging="360"/>
      </w:pPr>
    </w:lvl>
    <w:lvl w:ilvl="5" w:tplc="EAC4DFC8" w:tentative="1">
      <w:start w:val="1"/>
      <w:numFmt w:val="lowerRoman"/>
      <w:lvlText w:val="%6."/>
      <w:lvlJc w:val="right"/>
      <w:pPr>
        <w:ind w:left="3600" w:hanging="180"/>
      </w:pPr>
    </w:lvl>
    <w:lvl w:ilvl="6" w:tplc="77E4D3B0" w:tentative="1">
      <w:start w:val="1"/>
      <w:numFmt w:val="decimal"/>
      <w:lvlText w:val="%7."/>
      <w:lvlJc w:val="left"/>
      <w:pPr>
        <w:ind w:left="4320" w:hanging="360"/>
      </w:pPr>
    </w:lvl>
    <w:lvl w:ilvl="7" w:tplc="A482C094" w:tentative="1">
      <w:start w:val="1"/>
      <w:numFmt w:val="lowerLetter"/>
      <w:lvlText w:val="%8."/>
      <w:lvlJc w:val="left"/>
      <w:pPr>
        <w:ind w:left="5040" w:hanging="360"/>
      </w:pPr>
    </w:lvl>
    <w:lvl w:ilvl="8" w:tplc="7ACEA886" w:tentative="1">
      <w:start w:val="1"/>
      <w:numFmt w:val="lowerRoman"/>
      <w:lvlText w:val="%9."/>
      <w:lvlJc w:val="right"/>
      <w:pPr>
        <w:ind w:left="5760" w:hanging="180"/>
      </w:pPr>
    </w:lvl>
  </w:abstractNum>
  <w:abstractNum w:abstractNumId="1">
    <w:nsid w:val="5B3E125C"/>
    <w:multiLevelType w:val="multilevel"/>
    <w:tmpl w:val="1D2680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87E4B88"/>
    <w:multiLevelType w:val="multilevel"/>
    <w:tmpl w:val="BFB408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2">
    <w:abstractNumId w:val="2"/>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M7A0NDE1NzYyMDE3tzBU0lEKTi0uzszPAykwNKsFAGJ0+iItAAAA"/>
  </w:docVars>
  <w:rsids>
    <w:rsidRoot w:val="0099159E"/>
    <w:rsid w:val="000A1238"/>
    <w:rsid w:val="000D5CBB"/>
    <w:rsid w:val="001226AB"/>
    <w:rsid w:val="00141A43"/>
    <w:rsid w:val="001A04E7"/>
    <w:rsid w:val="001E61F5"/>
    <w:rsid w:val="001F2A0F"/>
    <w:rsid w:val="00273030"/>
    <w:rsid w:val="00280681"/>
    <w:rsid w:val="00423CE8"/>
    <w:rsid w:val="0044506A"/>
    <w:rsid w:val="0046197C"/>
    <w:rsid w:val="004A53A4"/>
    <w:rsid w:val="005E687C"/>
    <w:rsid w:val="006669DA"/>
    <w:rsid w:val="006959E0"/>
    <w:rsid w:val="006E5344"/>
    <w:rsid w:val="0070348A"/>
    <w:rsid w:val="00724E35"/>
    <w:rsid w:val="00731F29"/>
    <w:rsid w:val="008D402C"/>
    <w:rsid w:val="00930DD8"/>
    <w:rsid w:val="0099159E"/>
    <w:rsid w:val="0099671E"/>
    <w:rsid w:val="009A39A5"/>
    <w:rsid w:val="009D4B50"/>
    <w:rsid w:val="00A40885"/>
    <w:rsid w:val="00AB2CA1"/>
    <w:rsid w:val="00AF2A60"/>
    <w:rsid w:val="00B6212D"/>
    <w:rsid w:val="00CB1536"/>
    <w:rsid w:val="00D44D33"/>
    <w:rsid w:val="00DC0906"/>
    <w:rsid w:val="00DF0609"/>
    <w:rsid w:val="00E20299"/>
    <w:rsid w:val="00E42DDF"/>
    <w:rsid w:val="00E81825"/>
    <w:rsid w:val="00F941F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12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76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76F1"/>
  </w:style>
  <w:style w:type="paragraph" w:styleId="Footer">
    <w:name w:val="footer"/>
    <w:basedOn w:val="Normal"/>
    <w:link w:val="FooterChar"/>
    <w:uiPriority w:val="99"/>
    <w:unhideWhenUsed/>
    <w:rsid w:val="002776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76F1"/>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B6212D"/>
    <w:pPr>
      <w:spacing w:line="240" w:lineRule="auto"/>
    </w:pPr>
    <w:rPr>
      <w:sz w:val="20"/>
      <w:szCs w:val="20"/>
    </w:rPr>
  </w:style>
  <w:style w:type="character" w:customStyle="1" w:styleId="CommentTextChar">
    <w:name w:val="Comment Text Char"/>
    <w:basedOn w:val="DefaultParagraphFont"/>
    <w:link w:val="CommentText"/>
    <w:uiPriority w:val="99"/>
    <w:semiHidden/>
    <w:rsid w:val="00B6212D"/>
    <w:rPr>
      <w:sz w:val="20"/>
      <w:szCs w:val="20"/>
    </w:rPr>
  </w:style>
  <w:style w:type="paragraph" w:styleId="BalloonText">
    <w:name w:val="Balloon Text"/>
    <w:basedOn w:val="Normal"/>
    <w:link w:val="BalloonTextChar"/>
    <w:uiPriority w:val="99"/>
    <w:semiHidden/>
    <w:unhideWhenUsed/>
    <w:rsid w:val="00D245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45B1"/>
    <w:rPr>
      <w:rFonts w:ascii="Tahoma" w:hAnsi="Tahoma" w:cs="Tahoma"/>
      <w:sz w:val="16"/>
      <w:szCs w:val="16"/>
    </w:rPr>
  </w:style>
  <w:style w:type="table" w:styleId="TableGrid">
    <w:name w:val="Table Grid"/>
    <w:basedOn w:val="TableNormal"/>
    <w:uiPriority w:val="59"/>
    <w:rsid w:val="00FF4D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336361"/>
    <w:pPr>
      <w:spacing w:after="15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36361"/>
    <w:rPr>
      <w:i/>
      <w:iCs/>
    </w:rPr>
  </w:style>
  <w:style w:type="character" w:styleId="Hyperlink">
    <w:name w:val="Hyperlink"/>
    <w:basedOn w:val="DefaultParagraphFont"/>
    <w:uiPriority w:val="99"/>
    <w:unhideWhenUsed/>
    <w:rsid w:val="0096578D"/>
    <w:rPr>
      <w:color w:val="0000FF" w:themeColor="hyperlink"/>
      <w:u w:val="single"/>
    </w:rPr>
  </w:style>
  <w:style w:type="paragraph" w:styleId="ListParagraph">
    <w:name w:val="List Paragraph"/>
    <w:basedOn w:val="Normal"/>
    <w:uiPriority w:val="34"/>
    <w:qFormat/>
    <w:rsid w:val="00433E3E"/>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76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76F1"/>
  </w:style>
  <w:style w:type="paragraph" w:styleId="Footer">
    <w:name w:val="footer"/>
    <w:basedOn w:val="Normal"/>
    <w:link w:val="FooterChar"/>
    <w:uiPriority w:val="99"/>
    <w:unhideWhenUsed/>
    <w:rsid w:val="002776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76F1"/>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245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45B1"/>
    <w:rPr>
      <w:rFonts w:ascii="Tahoma" w:hAnsi="Tahoma" w:cs="Tahoma"/>
      <w:sz w:val="16"/>
      <w:szCs w:val="16"/>
    </w:rPr>
  </w:style>
  <w:style w:type="table" w:styleId="TableGrid">
    <w:name w:val="Table Grid"/>
    <w:basedOn w:val="TableNormal"/>
    <w:uiPriority w:val="59"/>
    <w:rsid w:val="00FF4D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36361"/>
    <w:pPr>
      <w:spacing w:after="15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36361"/>
    <w:rPr>
      <w:i/>
      <w:iCs/>
    </w:rPr>
  </w:style>
  <w:style w:type="character" w:styleId="Hyperlink">
    <w:name w:val="Hyperlink"/>
    <w:basedOn w:val="DefaultParagraphFont"/>
    <w:uiPriority w:val="99"/>
    <w:unhideWhenUsed/>
    <w:rsid w:val="0096578D"/>
    <w:rPr>
      <w:color w:val="0000FF" w:themeColor="hyperlink"/>
      <w:u w:val="single"/>
    </w:rPr>
  </w:style>
  <w:style w:type="paragraph" w:styleId="ListParagraph">
    <w:name w:val="List Paragraph"/>
    <w:basedOn w:val="Normal"/>
    <w:uiPriority w:val="34"/>
    <w:qFormat/>
    <w:rsid w:val="00433E3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9175C9-12FC-46D1-BF22-2F670E657F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1605</Words>
  <Characters>9150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10734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user</cp:lastModifiedBy>
  <cp:revision>2</cp:revision>
  <dcterms:created xsi:type="dcterms:W3CDTF">2018-01-31T11:36:00Z</dcterms:created>
  <dcterms:modified xsi:type="dcterms:W3CDTF">2018-01-31T11:36:00Z</dcterms:modified>
</cp:coreProperties>
</file>